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C5E0" w14:textId="77777777" w:rsidR="00D97A04" w:rsidRPr="00D97A04" w:rsidRDefault="00D97A04">
      <w:pPr>
        <w:rPr>
          <w:sz w:val="24"/>
          <w:szCs w:val="24"/>
        </w:rPr>
      </w:pPr>
    </w:p>
    <w:tbl>
      <w:tblPr>
        <w:tblStyle w:val="GridTable2"/>
        <w:tblpPr w:leftFromText="180" w:rightFromText="180" w:vertAnchor="page" w:horzAnchor="page" w:tblpX="1450" w:tblpY="2345"/>
        <w:tblW w:w="1323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397"/>
        <w:gridCol w:w="2132"/>
        <w:gridCol w:w="2459"/>
        <w:gridCol w:w="2088"/>
        <w:gridCol w:w="2088"/>
        <w:gridCol w:w="2070"/>
      </w:tblGrid>
      <w:tr w:rsidR="00D97A04" w:rsidRPr="00D97A04" w14:paraId="119B3BA0" w14:textId="77777777" w:rsidTr="00D97A04">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3234" w:type="dxa"/>
            <w:gridSpan w:val="6"/>
            <w:shd w:val="clear" w:color="auto" w:fill="FF0000"/>
          </w:tcPr>
          <w:p w14:paraId="72C4E8A8" w14:textId="77777777" w:rsidR="00D97A04" w:rsidRPr="00D97A04" w:rsidRDefault="00D97A04" w:rsidP="00D97A04">
            <w:pPr>
              <w:jc w:val="center"/>
              <w:rPr>
                <w:sz w:val="24"/>
                <w:szCs w:val="24"/>
              </w:rPr>
            </w:pPr>
          </w:p>
          <w:p w14:paraId="071E5D69" w14:textId="77777777" w:rsidR="00D97A04" w:rsidRPr="00D97A04" w:rsidRDefault="00D97A04" w:rsidP="00D97A04">
            <w:pPr>
              <w:jc w:val="center"/>
              <w:rPr>
                <w:b w:val="0"/>
                <w:bCs w:val="0"/>
                <w:color w:val="FFFFFF" w:themeColor="background1"/>
                <w:sz w:val="24"/>
                <w:szCs w:val="24"/>
              </w:rPr>
            </w:pPr>
            <w:r w:rsidRPr="00D97A04">
              <w:rPr>
                <w:color w:val="FFFFFF" w:themeColor="background1"/>
                <w:sz w:val="24"/>
                <w:szCs w:val="24"/>
              </w:rPr>
              <w:t>F&amp;A Charges for Purchases, Services, and for Companies</w:t>
            </w:r>
          </w:p>
          <w:p w14:paraId="32F239AC" w14:textId="77777777" w:rsidR="00D97A04" w:rsidRPr="00D97A04" w:rsidRDefault="00D97A04" w:rsidP="00D97A04">
            <w:pPr>
              <w:tabs>
                <w:tab w:val="left" w:pos="10767"/>
              </w:tabs>
              <w:rPr>
                <w:sz w:val="24"/>
                <w:szCs w:val="24"/>
              </w:rPr>
            </w:pPr>
            <w:r w:rsidRPr="00D97A04">
              <w:rPr>
                <w:sz w:val="24"/>
                <w:szCs w:val="24"/>
              </w:rPr>
              <w:tab/>
            </w:r>
          </w:p>
        </w:tc>
      </w:tr>
      <w:tr w:rsidR="00D97A04" w:rsidRPr="00D97A04" w14:paraId="1D821998" w14:textId="77777777" w:rsidTr="00D97A04">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2397" w:type="dxa"/>
            <w:shd w:val="clear" w:color="auto" w:fill="131F33"/>
          </w:tcPr>
          <w:p w14:paraId="0B4B2F30" w14:textId="77777777" w:rsidR="0028437F" w:rsidRPr="00D97A04" w:rsidRDefault="0028437F" w:rsidP="00D97A04">
            <w:pPr>
              <w:rPr>
                <w:sz w:val="24"/>
                <w:szCs w:val="24"/>
              </w:rPr>
            </w:pPr>
          </w:p>
        </w:tc>
        <w:tc>
          <w:tcPr>
            <w:tcW w:w="2132" w:type="dxa"/>
            <w:shd w:val="clear" w:color="auto" w:fill="131F33"/>
          </w:tcPr>
          <w:p w14:paraId="5E5DF18B" w14:textId="77777777" w:rsidR="0028437F" w:rsidRPr="00D97A04" w:rsidRDefault="0028437F" w:rsidP="00D97A0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A04">
              <w:rPr>
                <w:sz w:val="24"/>
                <w:szCs w:val="24"/>
              </w:rPr>
              <w:t xml:space="preserve">Central Stores </w:t>
            </w:r>
            <w:r w:rsidRPr="00D97A04">
              <w:rPr>
                <w:color w:val="FFFFFF" w:themeColor="background1"/>
                <w:sz w:val="24"/>
                <w:szCs w:val="24"/>
              </w:rPr>
              <w:t>Purchases</w:t>
            </w:r>
          </w:p>
        </w:tc>
        <w:tc>
          <w:tcPr>
            <w:tcW w:w="2459" w:type="dxa"/>
            <w:shd w:val="clear" w:color="auto" w:fill="131F33"/>
          </w:tcPr>
          <w:p w14:paraId="550848AC" w14:textId="77777777" w:rsidR="0028437F" w:rsidRPr="00D97A04" w:rsidRDefault="0028437F" w:rsidP="00D97A0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A04">
              <w:rPr>
                <w:sz w:val="24"/>
                <w:szCs w:val="24"/>
              </w:rPr>
              <w:t>Defined and costed campus services</w:t>
            </w:r>
          </w:p>
        </w:tc>
        <w:tc>
          <w:tcPr>
            <w:tcW w:w="2088" w:type="dxa"/>
            <w:shd w:val="clear" w:color="auto" w:fill="131F33"/>
          </w:tcPr>
          <w:p w14:paraId="39D8CCE5" w14:textId="77777777" w:rsidR="0028437F" w:rsidRPr="00D97A04" w:rsidRDefault="0028437F" w:rsidP="00D97A0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A04">
              <w:rPr>
                <w:sz w:val="24"/>
                <w:szCs w:val="24"/>
              </w:rPr>
              <w:t>Technical Testing and Facilities Use Agreements &lt;$10,000</w:t>
            </w:r>
          </w:p>
        </w:tc>
        <w:tc>
          <w:tcPr>
            <w:tcW w:w="2088" w:type="dxa"/>
            <w:shd w:val="clear" w:color="auto" w:fill="131F33"/>
          </w:tcPr>
          <w:p w14:paraId="4D3941EF" w14:textId="77777777" w:rsidR="0028437F" w:rsidRPr="00D97A04" w:rsidRDefault="0028437F" w:rsidP="00D97A0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A04">
              <w:rPr>
                <w:sz w:val="24"/>
                <w:szCs w:val="24"/>
              </w:rPr>
              <w:t>Technical Testing and Facilities Use Agreements &gt;$10,000</w:t>
            </w:r>
          </w:p>
        </w:tc>
        <w:tc>
          <w:tcPr>
            <w:tcW w:w="2070" w:type="dxa"/>
            <w:shd w:val="clear" w:color="auto" w:fill="131F33"/>
          </w:tcPr>
          <w:p w14:paraId="28A35860" w14:textId="77777777" w:rsidR="0028437F" w:rsidRPr="00D97A04" w:rsidRDefault="0028437F" w:rsidP="00D97A0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97A04">
              <w:rPr>
                <w:sz w:val="24"/>
                <w:szCs w:val="24"/>
              </w:rPr>
              <w:t>Sponsored Research</w:t>
            </w:r>
          </w:p>
        </w:tc>
      </w:tr>
      <w:tr w:rsidR="0028437F" w:rsidRPr="00D97A04" w14:paraId="33D50165" w14:textId="77777777" w:rsidTr="00D97A04">
        <w:trPr>
          <w:trHeight w:val="821"/>
        </w:trPr>
        <w:tc>
          <w:tcPr>
            <w:cnfStyle w:val="001000000000" w:firstRow="0" w:lastRow="0" w:firstColumn="1" w:lastColumn="0" w:oddVBand="0" w:evenVBand="0" w:oddHBand="0" w:evenHBand="0" w:firstRowFirstColumn="0" w:firstRowLastColumn="0" w:lastRowFirstColumn="0" w:lastRowLastColumn="0"/>
            <w:tcW w:w="2397" w:type="dxa"/>
            <w:shd w:val="clear" w:color="auto" w:fill="D8D7D6"/>
          </w:tcPr>
          <w:p w14:paraId="231C90F8" w14:textId="77777777" w:rsidR="0028437F" w:rsidRPr="00D97A04" w:rsidRDefault="0028437F" w:rsidP="00D97A04">
            <w:pPr>
              <w:rPr>
                <w:sz w:val="24"/>
                <w:szCs w:val="24"/>
              </w:rPr>
            </w:pPr>
            <w:r w:rsidRPr="00D97A04">
              <w:rPr>
                <w:sz w:val="24"/>
                <w:szCs w:val="24"/>
              </w:rPr>
              <w:t xml:space="preserve">EnterpriseWorks Tenants </w:t>
            </w:r>
          </w:p>
        </w:tc>
        <w:tc>
          <w:tcPr>
            <w:tcW w:w="2132" w:type="dxa"/>
            <w:vMerge w:val="restart"/>
            <w:shd w:val="clear" w:color="auto" w:fill="FFFFFF" w:themeFill="background1"/>
          </w:tcPr>
          <w:p w14:paraId="19F24F24"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May order from Central Stores without applying F&amp;A.</w:t>
            </w:r>
          </w:p>
          <w:p w14:paraId="7FD2D1C5" w14:textId="77777777" w:rsidR="0028437F" w:rsidRPr="00D97A04" w:rsidRDefault="0028437F" w:rsidP="00D97A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Purchases are charges to CFOP.</w:t>
            </w:r>
          </w:p>
          <w:p w14:paraId="55C66D86" w14:textId="77777777" w:rsidR="0028437F" w:rsidRPr="00D97A04" w:rsidRDefault="0028437F" w:rsidP="00D97A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 xml:space="preserve">EW Staff Invoice tenants. </w:t>
            </w:r>
          </w:p>
        </w:tc>
        <w:tc>
          <w:tcPr>
            <w:tcW w:w="2459" w:type="dxa"/>
            <w:vMerge w:val="restart"/>
            <w:shd w:val="clear" w:color="auto" w:fill="D8D7D6"/>
          </w:tcPr>
          <w:p w14:paraId="38648A5E"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 xml:space="preserve">May utilize defined and costed campus services at the campus rate, without F&amp;A. </w:t>
            </w:r>
          </w:p>
          <w:p w14:paraId="041D0614" w14:textId="77777777" w:rsidR="0028437F" w:rsidRPr="00D97A04" w:rsidRDefault="0028437F" w:rsidP="00D97A0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Purchases are charged to CFOP.</w:t>
            </w:r>
          </w:p>
          <w:p w14:paraId="687EDD25" w14:textId="77777777" w:rsidR="0028437F" w:rsidRPr="00D97A04" w:rsidRDefault="0028437F" w:rsidP="00D97A0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 xml:space="preserve">EW staff invoice tenants </w:t>
            </w:r>
          </w:p>
          <w:p w14:paraId="65F6B0E7" w14:textId="77777777" w:rsidR="0028437F" w:rsidRPr="00D97A04" w:rsidRDefault="0028437F" w:rsidP="00D97A0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Documentation of insurance and completion of training** are required for company staff using or operating University equipment***</w:t>
            </w:r>
          </w:p>
        </w:tc>
        <w:tc>
          <w:tcPr>
            <w:tcW w:w="2088" w:type="dxa"/>
            <w:vMerge w:val="restart"/>
            <w:shd w:val="clear" w:color="auto" w:fill="FFFFFF" w:themeFill="background1"/>
          </w:tcPr>
          <w:p w14:paraId="43ED6D4D"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Under $10,000, agreements are handled by the unit.</w:t>
            </w:r>
          </w:p>
        </w:tc>
        <w:tc>
          <w:tcPr>
            <w:tcW w:w="2088" w:type="dxa"/>
            <w:vMerge w:val="restart"/>
            <w:shd w:val="clear" w:color="auto" w:fill="D8D7D6"/>
          </w:tcPr>
          <w:p w14:paraId="06870595"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Over $10,000, the “other sponsored activities rate (OSA)” is charged.</w:t>
            </w:r>
          </w:p>
        </w:tc>
        <w:tc>
          <w:tcPr>
            <w:tcW w:w="2070" w:type="dxa"/>
            <w:vMerge w:val="restart"/>
            <w:shd w:val="clear" w:color="auto" w:fill="FFFFFF" w:themeFill="background1"/>
          </w:tcPr>
          <w:p w14:paraId="04EDDA1B"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Full research rate of 58.6% is charged. The University cannot discount the rate we charge to the federal government.</w:t>
            </w:r>
          </w:p>
        </w:tc>
      </w:tr>
      <w:tr w:rsidR="0028437F" w:rsidRPr="00D97A04" w14:paraId="3087B9DD" w14:textId="77777777" w:rsidTr="00D97A04">
        <w:trPr>
          <w:cnfStyle w:val="000000100000" w:firstRow="0" w:lastRow="0" w:firstColumn="0" w:lastColumn="0" w:oddVBand="0" w:evenVBand="0" w:oddHBand="1" w:evenHBand="0" w:firstRowFirstColumn="0" w:firstRowLastColumn="0" w:lastRowFirstColumn="0" w:lastRowLastColumn="0"/>
          <w:trHeight w:val="3549"/>
        </w:trPr>
        <w:tc>
          <w:tcPr>
            <w:cnfStyle w:val="001000000000" w:firstRow="0" w:lastRow="0" w:firstColumn="1" w:lastColumn="0" w:oddVBand="0" w:evenVBand="0" w:oddHBand="0" w:evenHBand="0" w:firstRowFirstColumn="0" w:firstRowLastColumn="0" w:lastRowFirstColumn="0" w:lastRowLastColumn="0"/>
            <w:tcW w:w="2397" w:type="dxa"/>
            <w:shd w:val="clear" w:color="auto" w:fill="D8D7D6"/>
          </w:tcPr>
          <w:p w14:paraId="0DA35364" w14:textId="77777777" w:rsidR="0028437F" w:rsidRPr="00D97A04" w:rsidRDefault="0028437F" w:rsidP="00D97A04">
            <w:pPr>
              <w:rPr>
                <w:sz w:val="24"/>
                <w:szCs w:val="24"/>
              </w:rPr>
            </w:pPr>
            <w:r w:rsidRPr="00D97A04">
              <w:rPr>
                <w:sz w:val="24"/>
                <w:szCs w:val="24"/>
              </w:rPr>
              <w:t>Companies Who have Graduated from Enterprise Works – First Two Years of Residence in Research Park *</w:t>
            </w:r>
          </w:p>
        </w:tc>
        <w:tc>
          <w:tcPr>
            <w:tcW w:w="2132" w:type="dxa"/>
            <w:vMerge/>
            <w:shd w:val="clear" w:color="auto" w:fill="FFFFFF" w:themeFill="background1"/>
          </w:tcPr>
          <w:p w14:paraId="4DC2D2AF" w14:textId="77777777" w:rsidR="0028437F" w:rsidRPr="00D97A04" w:rsidRDefault="0028437F" w:rsidP="00D97A04">
            <w:pPr>
              <w:cnfStyle w:val="000000100000" w:firstRow="0" w:lastRow="0" w:firstColumn="0" w:lastColumn="0" w:oddVBand="0" w:evenVBand="0" w:oddHBand="1" w:evenHBand="0" w:firstRowFirstColumn="0" w:firstRowLastColumn="0" w:lastRowFirstColumn="0" w:lastRowLastColumn="0"/>
              <w:rPr>
                <w:sz w:val="24"/>
                <w:szCs w:val="24"/>
              </w:rPr>
            </w:pPr>
          </w:p>
        </w:tc>
        <w:tc>
          <w:tcPr>
            <w:tcW w:w="2459" w:type="dxa"/>
            <w:vMerge/>
          </w:tcPr>
          <w:p w14:paraId="4619559F" w14:textId="77777777" w:rsidR="0028437F" w:rsidRPr="00D97A04" w:rsidRDefault="0028437F" w:rsidP="00D97A04">
            <w:pPr>
              <w:cnfStyle w:val="000000100000" w:firstRow="0" w:lastRow="0" w:firstColumn="0" w:lastColumn="0" w:oddVBand="0" w:evenVBand="0" w:oddHBand="1" w:evenHBand="0" w:firstRowFirstColumn="0" w:firstRowLastColumn="0" w:lastRowFirstColumn="0" w:lastRowLastColumn="0"/>
              <w:rPr>
                <w:sz w:val="24"/>
                <w:szCs w:val="24"/>
              </w:rPr>
            </w:pPr>
          </w:p>
        </w:tc>
        <w:tc>
          <w:tcPr>
            <w:tcW w:w="2088" w:type="dxa"/>
            <w:vMerge/>
            <w:shd w:val="clear" w:color="auto" w:fill="FFFFFF" w:themeFill="background1"/>
          </w:tcPr>
          <w:p w14:paraId="54F68AA1" w14:textId="77777777" w:rsidR="0028437F" w:rsidRPr="00D97A04" w:rsidRDefault="0028437F" w:rsidP="00D97A04">
            <w:pPr>
              <w:cnfStyle w:val="000000100000" w:firstRow="0" w:lastRow="0" w:firstColumn="0" w:lastColumn="0" w:oddVBand="0" w:evenVBand="0" w:oddHBand="1" w:evenHBand="0" w:firstRowFirstColumn="0" w:firstRowLastColumn="0" w:lastRowFirstColumn="0" w:lastRowLastColumn="0"/>
              <w:rPr>
                <w:sz w:val="24"/>
                <w:szCs w:val="24"/>
              </w:rPr>
            </w:pPr>
          </w:p>
        </w:tc>
        <w:tc>
          <w:tcPr>
            <w:tcW w:w="2088" w:type="dxa"/>
            <w:vMerge/>
          </w:tcPr>
          <w:p w14:paraId="11312279" w14:textId="77777777" w:rsidR="0028437F" w:rsidRPr="00D97A04" w:rsidRDefault="0028437F" w:rsidP="00D97A04">
            <w:pPr>
              <w:cnfStyle w:val="000000100000" w:firstRow="0" w:lastRow="0" w:firstColumn="0" w:lastColumn="0" w:oddVBand="0" w:evenVBand="0" w:oddHBand="1" w:evenHBand="0" w:firstRowFirstColumn="0" w:firstRowLastColumn="0" w:lastRowFirstColumn="0" w:lastRowLastColumn="0"/>
              <w:rPr>
                <w:sz w:val="24"/>
                <w:szCs w:val="24"/>
              </w:rPr>
            </w:pPr>
          </w:p>
        </w:tc>
        <w:tc>
          <w:tcPr>
            <w:tcW w:w="2070" w:type="dxa"/>
            <w:vMerge/>
            <w:shd w:val="clear" w:color="auto" w:fill="FFFFFF" w:themeFill="background1"/>
          </w:tcPr>
          <w:p w14:paraId="25044996" w14:textId="77777777" w:rsidR="0028437F" w:rsidRPr="00D97A04" w:rsidRDefault="0028437F" w:rsidP="00D97A04">
            <w:pPr>
              <w:cnfStyle w:val="000000100000" w:firstRow="0" w:lastRow="0" w:firstColumn="0" w:lastColumn="0" w:oddVBand="0" w:evenVBand="0" w:oddHBand="1" w:evenHBand="0" w:firstRowFirstColumn="0" w:firstRowLastColumn="0" w:lastRowFirstColumn="0" w:lastRowLastColumn="0"/>
              <w:rPr>
                <w:sz w:val="24"/>
                <w:szCs w:val="24"/>
              </w:rPr>
            </w:pPr>
          </w:p>
        </w:tc>
      </w:tr>
      <w:tr w:rsidR="0028437F" w:rsidRPr="00D97A04" w14:paraId="62EE88AC" w14:textId="77777777" w:rsidTr="00D97A04">
        <w:trPr>
          <w:trHeight w:val="1193"/>
        </w:trPr>
        <w:tc>
          <w:tcPr>
            <w:cnfStyle w:val="001000000000" w:firstRow="0" w:lastRow="0" w:firstColumn="1" w:lastColumn="0" w:oddVBand="0" w:evenVBand="0" w:oddHBand="0" w:evenHBand="0" w:firstRowFirstColumn="0" w:firstRowLastColumn="0" w:lastRowFirstColumn="0" w:lastRowLastColumn="0"/>
            <w:tcW w:w="2397" w:type="dxa"/>
            <w:shd w:val="clear" w:color="auto" w:fill="D8D7D6"/>
          </w:tcPr>
          <w:p w14:paraId="61F219DE" w14:textId="77777777" w:rsidR="0028437F" w:rsidRPr="00D97A04" w:rsidRDefault="0028437F" w:rsidP="00D97A04">
            <w:pPr>
              <w:rPr>
                <w:sz w:val="24"/>
                <w:szCs w:val="24"/>
              </w:rPr>
            </w:pPr>
            <w:r w:rsidRPr="00D97A04">
              <w:rPr>
                <w:sz w:val="24"/>
                <w:szCs w:val="24"/>
              </w:rPr>
              <w:t xml:space="preserve">External Companies, both within and outside of the Research Park </w:t>
            </w:r>
          </w:p>
        </w:tc>
        <w:tc>
          <w:tcPr>
            <w:tcW w:w="2132" w:type="dxa"/>
            <w:shd w:val="clear" w:color="auto" w:fill="FFFFFF" w:themeFill="background1"/>
          </w:tcPr>
          <w:p w14:paraId="1FD73789"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 xml:space="preserve">Not available. </w:t>
            </w:r>
          </w:p>
        </w:tc>
        <w:tc>
          <w:tcPr>
            <w:tcW w:w="2459" w:type="dxa"/>
            <w:shd w:val="clear" w:color="auto" w:fill="D8D7D6"/>
          </w:tcPr>
          <w:p w14:paraId="1E7A4D1A"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r w:rsidRPr="00D97A04">
              <w:rPr>
                <w:sz w:val="24"/>
                <w:szCs w:val="24"/>
              </w:rPr>
              <w:t xml:space="preserve">May utilize and be charged external rate with F&amp;A applied. </w:t>
            </w:r>
          </w:p>
        </w:tc>
        <w:tc>
          <w:tcPr>
            <w:tcW w:w="2088" w:type="dxa"/>
            <w:vMerge/>
            <w:shd w:val="clear" w:color="auto" w:fill="FFFFFF" w:themeFill="background1"/>
          </w:tcPr>
          <w:p w14:paraId="54EC991D"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p>
        </w:tc>
        <w:tc>
          <w:tcPr>
            <w:tcW w:w="2088" w:type="dxa"/>
            <w:vMerge/>
            <w:shd w:val="clear" w:color="auto" w:fill="D8D7D6"/>
          </w:tcPr>
          <w:p w14:paraId="13BACFFE"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p>
        </w:tc>
        <w:tc>
          <w:tcPr>
            <w:tcW w:w="2070" w:type="dxa"/>
            <w:vMerge/>
            <w:shd w:val="clear" w:color="auto" w:fill="FFFFFF" w:themeFill="background1"/>
          </w:tcPr>
          <w:p w14:paraId="00CA10AE" w14:textId="77777777" w:rsidR="0028437F" w:rsidRPr="00D97A04" w:rsidRDefault="0028437F" w:rsidP="00D97A04">
            <w:pPr>
              <w:cnfStyle w:val="000000000000" w:firstRow="0" w:lastRow="0" w:firstColumn="0" w:lastColumn="0" w:oddVBand="0" w:evenVBand="0" w:oddHBand="0" w:evenHBand="0" w:firstRowFirstColumn="0" w:firstRowLastColumn="0" w:lastRowFirstColumn="0" w:lastRowLastColumn="0"/>
              <w:rPr>
                <w:sz w:val="24"/>
                <w:szCs w:val="24"/>
              </w:rPr>
            </w:pPr>
          </w:p>
        </w:tc>
      </w:tr>
    </w:tbl>
    <w:p w14:paraId="73FE27CB" w14:textId="77777777" w:rsidR="00D97A04" w:rsidRPr="00D97A04" w:rsidRDefault="00D97A04">
      <w:pPr>
        <w:rPr>
          <w:sz w:val="24"/>
          <w:szCs w:val="24"/>
        </w:rPr>
      </w:pPr>
    </w:p>
    <w:p w14:paraId="78497EF8" w14:textId="77777777" w:rsidR="00D97A04" w:rsidRPr="00D97A04" w:rsidRDefault="00D97A04">
      <w:pPr>
        <w:rPr>
          <w:sz w:val="24"/>
          <w:szCs w:val="24"/>
        </w:rPr>
      </w:pPr>
    </w:p>
    <w:p w14:paraId="3698E369" w14:textId="77777777" w:rsidR="00D97A04" w:rsidRPr="00D97A04" w:rsidRDefault="00D97A04" w:rsidP="00D97A04">
      <w:pPr>
        <w:rPr>
          <w:rFonts w:cs="Times New Roman"/>
          <w:sz w:val="24"/>
          <w:szCs w:val="24"/>
        </w:rPr>
      </w:pPr>
      <w:r w:rsidRPr="00D97A04">
        <w:rPr>
          <w:rFonts w:cs="Times New Roman"/>
          <w:b/>
          <w:sz w:val="24"/>
          <w:szCs w:val="24"/>
        </w:rPr>
        <w:t>Defined and costed campus services</w:t>
      </w:r>
      <w:r w:rsidRPr="00D97A04">
        <w:rPr>
          <w:rFonts w:cs="Times New Roman"/>
          <w:sz w:val="24"/>
          <w:szCs w:val="24"/>
        </w:rPr>
        <w:t xml:space="preserve"> include instrument facilities with established rates, shops with established rates, etc.  They may include facilities where a rate has been established for use of instruments, equipment and laboratory space, e.g. use of clean rooms.</w:t>
      </w:r>
    </w:p>
    <w:p w14:paraId="2258FB9A" w14:textId="77777777" w:rsidR="00D97A04" w:rsidRPr="00D97A04" w:rsidRDefault="00D97A04" w:rsidP="00D97A04">
      <w:pPr>
        <w:rPr>
          <w:rFonts w:cs="Times New Roman"/>
          <w:sz w:val="24"/>
          <w:szCs w:val="24"/>
        </w:rPr>
      </w:pPr>
      <w:r w:rsidRPr="00D97A04">
        <w:rPr>
          <w:rFonts w:cs="Times New Roman"/>
          <w:b/>
          <w:sz w:val="24"/>
          <w:szCs w:val="24"/>
        </w:rPr>
        <w:t xml:space="preserve">Central Stores:  </w:t>
      </w:r>
      <w:r w:rsidRPr="00D97A04">
        <w:rPr>
          <w:rFonts w:cs="Times New Roman"/>
          <w:sz w:val="24"/>
          <w:szCs w:val="24"/>
        </w:rPr>
        <w:t>When obtaining materials and supplies from central stores, parties external to the University are responsible for paying any appropriate taxes.  EnterpriseWorks administration will assist in the collection and submission of taxes on purchases from Central Stores.</w:t>
      </w:r>
    </w:p>
    <w:p w14:paraId="4AB90F39" w14:textId="77777777" w:rsidR="00D97A04" w:rsidRPr="00D97A04" w:rsidRDefault="00D97A04" w:rsidP="00D97A04">
      <w:pPr>
        <w:rPr>
          <w:rFonts w:cs="Times New Roman"/>
          <w:sz w:val="24"/>
          <w:szCs w:val="24"/>
        </w:rPr>
      </w:pPr>
      <w:r w:rsidRPr="00D97A04">
        <w:rPr>
          <w:rFonts w:cs="Times New Roman"/>
          <w:b/>
          <w:sz w:val="24"/>
          <w:szCs w:val="24"/>
        </w:rPr>
        <w:t xml:space="preserve">Service Rates:  </w:t>
      </w:r>
      <w:r w:rsidRPr="00D97A04">
        <w:rPr>
          <w:rFonts w:cs="Times New Roman"/>
          <w:sz w:val="24"/>
          <w:szCs w:val="24"/>
        </w:rPr>
        <w:t>Units should use a rate structure that specifies an internal campus rate and an external campus rate.  .</w:t>
      </w:r>
    </w:p>
    <w:p w14:paraId="3889D41A" w14:textId="77777777" w:rsidR="00D97A04" w:rsidRPr="00D97A04" w:rsidRDefault="00D97A04" w:rsidP="00D97A04">
      <w:pPr>
        <w:pStyle w:val="ListParagraph"/>
        <w:numPr>
          <w:ilvl w:val="0"/>
          <w:numId w:val="3"/>
        </w:numPr>
        <w:rPr>
          <w:rFonts w:cs="Times New Roman"/>
          <w:sz w:val="24"/>
          <w:szCs w:val="24"/>
        </w:rPr>
      </w:pPr>
      <w:r w:rsidRPr="00D97A04">
        <w:rPr>
          <w:rFonts w:cs="Times New Roman"/>
          <w:sz w:val="24"/>
          <w:szCs w:val="24"/>
        </w:rPr>
        <w:t>Campus Rate – based on costs charged to service or storeroom funds</w:t>
      </w:r>
    </w:p>
    <w:p w14:paraId="1A9AAD7C" w14:textId="77777777" w:rsidR="00D97A04" w:rsidRPr="00D97A04" w:rsidRDefault="00D97A04" w:rsidP="00D97A04">
      <w:pPr>
        <w:pStyle w:val="ListParagraph"/>
        <w:numPr>
          <w:ilvl w:val="0"/>
          <w:numId w:val="3"/>
        </w:numPr>
        <w:rPr>
          <w:rFonts w:cs="Times New Roman"/>
          <w:sz w:val="24"/>
          <w:szCs w:val="24"/>
        </w:rPr>
      </w:pPr>
      <w:r w:rsidRPr="00D97A04">
        <w:rPr>
          <w:rFonts w:cs="Times New Roman"/>
          <w:sz w:val="24"/>
          <w:szCs w:val="24"/>
        </w:rPr>
        <w:t>External Rate – based on costs charged to service or storeroom funds,</w:t>
      </w:r>
      <w:r w:rsidRPr="00D97A04" w:rsidDel="001B7D5A">
        <w:rPr>
          <w:rFonts w:cs="Times New Roman"/>
          <w:sz w:val="24"/>
          <w:szCs w:val="24"/>
        </w:rPr>
        <w:t xml:space="preserve"> </w:t>
      </w:r>
      <w:r w:rsidRPr="00D97A04">
        <w:rPr>
          <w:rFonts w:cs="Times New Roman"/>
          <w:sz w:val="24"/>
          <w:szCs w:val="24"/>
        </w:rPr>
        <w:t xml:space="preserve">plus costs charged to other departmental institutional funds, with the OSA F&amp;A rate applied to the total costs (may also charge the campus rate and apply the OSA F&amp;A rate to the cost). </w:t>
      </w:r>
    </w:p>
    <w:p w14:paraId="3AFE1ED3" w14:textId="77777777" w:rsidR="00D97A04" w:rsidRPr="00D97A04" w:rsidRDefault="00D97A04" w:rsidP="00D97A04">
      <w:pPr>
        <w:rPr>
          <w:rFonts w:cs="Times New Roman"/>
          <w:sz w:val="24"/>
          <w:szCs w:val="24"/>
        </w:rPr>
      </w:pPr>
      <w:r w:rsidRPr="00D97A04">
        <w:rPr>
          <w:rFonts w:cs="Times New Roman"/>
          <w:sz w:val="24"/>
          <w:szCs w:val="24"/>
        </w:rPr>
        <w:t>If a unit wishes to subsidize clients internal to the unit, so that they would pay an effective rate lower than the campus rate, the full rate will be charged and a portion of the rate may be charged to other unit funds. In addition, any subsidies must be separately identifiable in Banner which is typically accomplished by use of a separate program code.</w:t>
      </w:r>
    </w:p>
    <w:p w14:paraId="41F16802" w14:textId="77777777" w:rsidR="00D97A04" w:rsidRPr="00D97A04" w:rsidRDefault="00D97A04" w:rsidP="00D97A04">
      <w:pPr>
        <w:rPr>
          <w:rFonts w:cs="Times New Roman"/>
          <w:sz w:val="24"/>
          <w:szCs w:val="24"/>
        </w:rPr>
      </w:pPr>
      <w:r w:rsidRPr="00D97A04">
        <w:rPr>
          <w:rFonts w:cs="Times New Roman"/>
          <w:sz w:val="24"/>
          <w:szCs w:val="24"/>
        </w:rPr>
        <w:t>Written policies on service rates are maintained by OBFS and can be located on the OBFS Office of Government Costing website, including templates for developing rates and examples of developed rates.</w:t>
      </w:r>
    </w:p>
    <w:p w14:paraId="652FE905" w14:textId="77777777" w:rsidR="00D97A04" w:rsidRPr="00D97A04" w:rsidRDefault="00D97A04" w:rsidP="00D97A04">
      <w:pPr>
        <w:rPr>
          <w:rFonts w:cs="Times New Roman"/>
          <w:sz w:val="24"/>
          <w:szCs w:val="24"/>
        </w:rPr>
      </w:pPr>
      <w:r w:rsidRPr="00D97A04">
        <w:rPr>
          <w:rFonts w:cs="Times New Roman"/>
          <w:sz w:val="24"/>
          <w:szCs w:val="24"/>
        </w:rPr>
        <w:t>*Limited to $5000 outstanding balance of expenditures.  This is intended as an incentive to University of Illinois start-ups to remain in the Park.</w:t>
      </w:r>
    </w:p>
    <w:p w14:paraId="7A0B4BEA" w14:textId="77777777" w:rsidR="00D97A04" w:rsidRPr="00D97A04" w:rsidRDefault="00D97A04" w:rsidP="00D97A04">
      <w:pPr>
        <w:rPr>
          <w:rFonts w:cs="Times New Roman"/>
          <w:sz w:val="24"/>
          <w:szCs w:val="24"/>
        </w:rPr>
      </w:pPr>
      <w:r w:rsidRPr="00D97A04">
        <w:rPr>
          <w:rFonts w:cs="Times New Roman"/>
          <w:sz w:val="24"/>
          <w:szCs w:val="24"/>
        </w:rPr>
        <w:t>**Users are required to present proof of completion of the DRS-mandated “General Lab Safety Training” online course, and any regulatory-required trainings (laser, x-rays, etc). Once the unit has those confirmations on file, the prospective user will attend one or more in-person training sessions with a staff member to receive instrument and lab-specific safety procedures and instruction on operation of the tool. After the staff member has cleared them via a tool-specific checklist, the prospective user may then schedule time to use the equipment. The user is charged for training time. Most facilities charge training at the same rate they charge the user if they desire to have “staff assistance” while operating the tools.</w:t>
      </w:r>
    </w:p>
    <w:p w14:paraId="1E6C4DD1" w14:textId="77777777" w:rsidR="002A4311" w:rsidRPr="00D97A04" w:rsidRDefault="00D97A04" w:rsidP="00D97A04">
      <w:pPr>
        <w:rPr>
          <w:rFonts w:cs="Times New Roman"/>
          <w:sz w:val="24"/>
          <w:szCs w:val="24"/>
        </w:rPr>
      </w:pPr>
      <w:r w:rsidRPr="00D97A04">
        <w:rPr>
          <w:rFonts w:cs="Times New Roman"/>
          <w:sz w:val="24"/>
          <w:szCs w:val="24"/>
        </w:rPr>
        <w:t>***Company staff may not use University vehicles.</w:t>
      </w:r>
      <w:bookmarkStart w:id="0" w:name="_GoBack"/>
      <w:bookmarkEnd w:id="0"/>
    </w:p>
    <w:sectPr w:rsidR="002A4311" w:rsidRPr="00D97A04" w:rsidSect="002843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92EE" w14:textId="77777777" w:rsidR="00715B9B" w:rsidRDefault="00715B9B" w:rsidP="00D97A04">
      <w:pPr>
        <w:spacing w:after="0" w:line="240" w:lineRule="auto"/>
      </w:pPr>
      <w:r>
        <w:separator/>
      </w:r>
    </w:p>
  </w:endnote>
  <w:endnote w:type="continuationSeparator" w:id="0">
    <w:p w14:paraId="6D8EFD3B" w14:textId="77777777" w:rsidR="00715B9B" w:rsidRDefault="00715B9B" w:rsidP="00D9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F4D9" w14:textId="77777777" w:rsidR="00715B9B" w:rsidRDefault="00715B9B" w:rsidP="00D97A04">
      <w:pPr>
        <w:spacing w:after="0" w:line="240" w:lineRule="auto"/>
      </w:pPr>
      <w:r>
        <w:separator/>
      </w:r>
    </w:p>
  </w:footnote>
  <w:footnote w:type="continuationSeparator" w:id="0">
    <w:p w14:paraId="43D447A4" w14:textId="77777777" w:rsidR="00715B9B" w:rsidRDefault="00715B9B" w:rsidP="00D97A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F2485"/>
    <w:multiLevelType w:val="hybridMultilevel"/>
    <w:tmpl w:val="75E0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A0701"/>
    <w:multiLevelType w:val="hybridMultilevel"/>
    <w:tmpl w:val="B272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1262E0"/>
    <w:multiLevelType w:val="hybridMultilevel"/>
    <w:tmpl w:val="086C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7F"/>
    <w:rsid w:val="0028437F"/>
    <w:rsid w:val="0057583F"/>
    <w:rsid w:val="00715B9B"/>
    <w:rsid w:val="00D9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18B"/>
  <w15:chartTrackingRefBased/>
  <w15:docId w15:val="{A890995A-6701-4747-94F8-4632D400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8437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8437F"/>
    <w:pPr>
      <w:ind w:left="720"/>
      <w:contextualSpacing/>
    </w:pPr>
  </w:style>
  <w:style w:type="paragraph" w:styleId="Header">
    <w:name w:val="header"/>
    <w:basedOn w:val="Normal"/>
    <w:link w:val="HeaderChar"/>
    <w:uiPriority w:val="99"/>
    <w:unhideWhenUsed/>
    <w:rsid w:val="00D9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04"/>
  </w:style>
  <w:style w:type="paragraph" w:styleId="Footer">
    <w:name w:val="footer"/>
    <w:basedOn w:val="Normal"/>
    <w:link w:val="FooterChar"/>
    <w:uiPriority w:val="99"/>
    <w:unhideWhenUsed/>
    <w:rsid w:val="00D9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Hannah Elizabeth</dc:creator>
  <cp:keywords/>
  <dc:description/>
  <cp:lastModifiedBy>Wolpert, Tyler Matthew</cp:lastModifiedBy>
  <cp:revision>2</cp:revision>
  <dcterms:created xsi:type="dcterms:W3CDTF">2018-08-29T21:59:00Z</dcterms:created>
  <dcterms:modified xsi:type="dcterms:W3CDTF">2018-08-31T02:00:00Z</dcterms:modified>
</cp:coreProperties>
</file>